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EA1E5" w14:textId="77941567" w:rsidR="00843948" w:rsidRPr="002B6A2F" w:rsidRDefault="00843948" w:rsidP="00843948">
      <w:pPr>
        <w:pStyle w:val="Heading1"/>
        <w:numPr>
          <w:ilvl w:val="0"/>
          <w:numId w:val="0"/>
        </w:numPr>
        <w:spacing w:before="0"/>
        <w:jc w:val="left"/>
        <w:rPr>
          <w:rFonts w:ascii="Arial" w:hAnsi="Arial" w:cs="Arial"/>
          <w:color w:val="006EBC"/>
          <w:szCs w:val="24"/>
          <w:u w:val="single"/>
        </w:rPr>
      </w:pPr>
      <w:bookmarkStart w:id="0" w:name="_GoBack"/>
      <w:bookmarkEnd w:id="0"/>
      <w:r w:rsidRPr="002B6A2F">
        <w:rPr>
          <w:rFonts w:ascii="Arial" w:hAnsi="Arial" w:cs="Arial"/>
          <w:color w:val="0070C0"/>
          <w:szCs w:val="24"/>
          <w:u w:val="single"/>
          <w:lang w:eastAsia="fr-BE"/>
        </w:rPr>
        <w:t>ENCLOSURE A.</w:t>
      </w:r>
      <w:r w:rsidR="00A348F4">
        <w:rPr>
          <w:rFonts w:ascii="Arial" w:hAnsi="Arial" w:cs="Arial"/>
          <w:color w:val="0070C0"/>
          <w:szCs w:val="24"/>
          <w:u w:val="single"/>
          <w:lang w:eastAsia="fr-BE"/>
        </w:rPr>
        <w:t>3</w:t>
      </w:r>
      <w:r w:rsidRPr="002B6A2F">
        <w:rPr>
          <w:rFonts w:ascii="Arial" w:hAnsi="Arial" w:cs="Arial"/>
          <w:color w:val="0070C0"/>
          <w:szCs w:val="24"/>
          <w:u w:val="single"/>
          <w:lang w:eastAsia="fr-BE"/>
        </w:rPr>
        <w:t xml:space="preserve"> </w:t>
      </w:r>
      <w:r w:rsidR="00D8212F" w:rsidRPr="00843948">
        <w:rPr>
          <w:rFonts w:ascii="Arial" w:hAnsi="Arial" w:cs="Arial"/>
          <w:color w:val="0070C0"/>
          <w:szCs w:val="24"/>
          <w:u w:val="single"/>
          <w:lang w:eastAsia="fr-BE"/>
        </w:rPr>
        <w:t xml:space="preserve">– </w:t>
      </w:r>
      <w:r w:rsidR="00D8212F" w:rsidRPr="00843948">
        <w:rPr>
          <w:rFonts w:ascii="Arial" w:hAnsi="Arial" w:cs="Arial"/>
          <w:smallCaps w:val="0"/>
          <w:color w:val="006EBC"/>
          <w:szCs w:val="24"/>
          <w:u w:val="single"/>
        </w:rPr>
        <w:t>DECLARATION OF HONOUR ON EXCLUSION CRITERIA AND SELECTION CRITERIA</w:t>
      </w:r>
    </w:p>
    <w:p w14:paraId="05FFB535" w14:textId="4D026E5B" w:rsidR="00F70F8A" w:rsidRPr="00363D6E" w:rsidRDefault="00F70F8A" w:rsidP="00F70F8A">
      <w:pPr>
        <w:suppressAutoHyphens/>
        <w:spacing w:line="276" w:lineRule="auto"/>
        <w:rPr>
          <w:rFonts w:ascii="Arial" w:hAnsi="Arial" w:cs="Arial"/>
          <w:b/>
          <w:color w:val="0070C0"/>
          <w:lang w:eastAsia="fr-BE"/>
        </w:rPr>
      </w:pPr>
      <w:r w:rsidRPr="00363D6E">
        <w:rPr>
          <w:rFonts w:ascii="Arial" w:hAnsi="Arial" w:cs="Arial"/>
          <w:b/>
          <w:color w:val="0070C0"/>
          <w:lang w:eastAsia="fr-BE"/>
        </w:rPr>
        <w:t>Enclosed to Procurement Procedure No. EMSA/</w:t>
      </w:r>
      <w:r>
        <w:rPr>
          <w:rFonts w:ascii="Arial" w:hAnsi="Arial" w:cs="Arial"/>
          <w:b/>
          <w:color w:val="0070C0"/>
          <w:lang w:eastAsia="fr-BE"/>
        </w:rPr>
        <w:t>CP</w:t>
      </w:r>
      <w:r w:rsidRPr="00363D6E">
        <w:rPr>
          <w:rFonts w:ascii="Arial" w:hAnsi="Arial" w:cs="Arial"/>
          <w:b/>
          <w:color w:val="0070C0"/>
          <w:lang w:eastAsia="fr-BE"/>
        </w:rPr>
        <w:t>NEG/</w:t>
      </w:r>
      <w:r w:rsidR="00A348F4">
        <w:rPr>
          <w:rFonts w:ascii="Arial" w:hAnsi="Arial" w:cs="Arial"/>
          <w:b/>
          <w:color w:val="0070C0"/>
          <w:lang w:eastAsia="fr-BE"/>
        </w:rPr>
        <w:t>38</w:t>
      </w:r>
      <w:r w:rsidRPr="00363D6E">
        <w:rPr>
          <w:rFonts w:ascii="Arial" w:hAnsi="Arial" w:cs="Arial"/>
          <w:b/>
          <w:color w:val="0070C0"/>
          <w:lang w:eastAsia="fr-BE"/>
        </w:rPr>
        <w:t>/2016</w:t>
      </w:r>
      <w:r>
        <w:rPr>
          <w:rFonts w:ascii="Arial" w:hAnsi="Arial" w:cs="Arial"/>
          <w:b/>
          <w:color w:val="0070C0"/>
          <w:lang w:eastAsia="fr-BE"/>
        </w:rPr>
        <w:t xml:space="preserve"> </w:t>
      </w:r>
      <w:r w:rsidR="00A348F4">
        <w:rPr>
          <w:rFonts w:ascii="Arial" w:hAnsi="Arial" w:cs="Arial"/>
          <w:b/>
          <w:color w:val="0070C0"/>
          <w:lang w:eastAsia="fr-BE"/>
        </w:rPr>
        <w:t xml:space="preserve">- </w:t>
      </w:r>
      <w:r w:rsidRPr="00363D6E">
        <w:rPr>
          <w:rFonts w:ascii="Arial" w:hAnsi="Arial" w:cs="Arial"/>
          <w:b/>
          <w:color w:val="0070C0"/>
          <w:lang w:eastAsia="fr-BE"/>
        </w:rPr>
        <w:t xml:space="preserve">Service Contract for </w:t>
      </w:r>
      <w:r w:rsidR="00A348F4">
        <w:rPr>
          <w:rFonts w:ascii="Arial" w:hAnsi="Arial" w:cs="Arial"/>
          <w:b/>
          <w:color w:val="0070C0"/>
          <w:lang w:eastAsia="fr-BE"/>
        </w:rPr>
        <w:t>Equipment Assistance Service (EAS) – Southern Europe</w:t>
      </w:r>
    </w:p>
    <w:p w14:paraId="3DD76F2C" w14:textId="71506F13" w:rsidR="00F70F8A" w:rsidRPr="005937E6" w:rsidRDefault="00F70F8A" w:rsidP="00F70F8A">
      <w:pPr>
        <w:spacing w:line="276" w:lineRule="auto"/>
        <w:rPr>
          <w:rFonts w:ascii="Arial" w:hAnsi="Arial" w:cs="Arial"/>
          <w:b/>
          <w:color w:val="0070C0"/>
          <w:szCs w:val="24"/>
          <w:lang w:eastAsia="fr-BE"/>
        </w:rPr>
      </w:pPr>
      <w:r w:rsidRPr="005937E6">
        <w:rPr>
          <w:rFonts w:ascii="Arial" w:hAnsi="Arial" w:cs="Arial"/>
          <w:b/>
          <w:color w:val="0070C0"/>
          <w:szCs w:val="24"/>
          <w:lang w:eastAsia="fr-BE"/>
        </w:rPr>
        <w:t>Competitive procedure with negotiation</w:t>
      </w:r>
    </w:p>
    <w:p w14:paraId="4A40A617" w14:textId="528708A4" w:rsidR="00843948" w:rsidRPr="00E27389" w:rsidRDefault="00F70F8A" w:rsidP="00693340">
      <w:pPr>
        <w:pStyle w:val="Heading1"/>
        <w:numPr>
          <w:ilvl w:val="0"/>
          <w:numId w:val="0"/>
        </w:numPr>
        <w:spacing w:before="0"/>
        <w:jc w:val="left"/>
        <w:rPr>
          <w:rFonts w:ascii="Arial" w:hAnsi="Arial" w:cs="Arial"/>
          <w:b w:val="0"/>
          <w:smallCaps w:val="0"/>
          <w:color w:val="006EBC"/>
          <w:sz w:val="32"/>
          <w:szCs w:val="32"/>
        </w:rPr>
      </w:pPr>
      <w:r w:rsidRPr="00E27389">
        <w:rPr>
          <w:rFonts w:ascii="Arial" w:hAnsi="Arial" w:cs="Arial"/>
          <w:smallCaps w:val="0"/>
          <w:color w:val="0070C0"/>
          <w:lang w:eastAsia="fr-BE"/>
        </w:rPr>
        <w:t xml:space="preserve">Phase I - Invitation to Apply </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lastRenderedPageBreak/>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 xml:space="preserve">decisions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5045F">
              <w:rPr>
                <w:rFonts w:ascii="Arial" w:hAnsi="Arial" w:cs="Arial"/>
                <w:noProof/>
                <w:sz w:val="20"/>
              </w:rPr>
            </w:r>
            <w:r w:rsidR="00E5045F">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w:t>
      </w:r>
      <w:r w:rsidRPr="00E25836">
        <w:rPr>
          <w:rFonts w:ascii="Arial" w:hAnsi="Arial" w:cs="Arial"/>
          <w:noProof/>
          <w:sz w:val="20"/>
        </w:rPr>
        <w:lastRenderedPageBreak/>
        <w:t>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2B6A2F">
      <w:headerReference w:type="default" r:id="rId11"/>
      <w:footerReference w:type="default" r:id="rId12"/>
      <w:headerReference w:type="first" r:id="rId13"/>
      <w:pgSz w:w="11906" w:h="16838"/>
      <w:pgMar w:top="2100"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BD29395"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5045F">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E5045F">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5045F">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2B6A2F" w:rsidRPr="003E7EEE">
      <w:rPr>
        <w:rFonts w:ascii="Arial" w:hAnsi="Arial" w:cs="Arial"/>
        <w:noProof/>
        <w:sz w:val="16"/>
        <w:szCs w:val="16"/>
        <w:lang w:val="pt-PT"/>
      </w:rPr>
      <w:instrText xml:space="preserve">Page </w:instrText>
    </w:r>
    <w:r w:rsidR="002B6A2F">
      <w:rPr>
        <w:rFonts w:ascii="Arial" w:hAnsi="Arial" w:cs="Arial"/>
        <w:noProof/>
        <w:sz w:val="16"/>
        <w:szCs w:val="16"/>
        <w:lang w:val="pt-PT"/>
      </w:rPr>
      <w:instrText>5</w:instrText>
    </w:r>
    <w:r w:rsidR="002B6A2F" w:rsidRPr="003E7EEE">
      <w:rPr>
        <w:rFonts w:ascii="Arial" w:hAnsi="Arial" w:cs="Arial"/>
        <w:noProof/>
        <w:sz w:val="16"/>
        <w:szCs w:val="16"/>
        <w:lang w:val="pt-PT"/>
      </w:rPr>
      <w:instrText xml:space="preserve"> of </w:instrText>
    </w:r>
    <w:r w:rsidR="002B6A2F">
      <w:rPr>
        <w:rFonts w:ascii="Arial" w:hAnsi="Arial" w:cs="Arial"/>
        <w:noProof/>
        <w:sz w:val="16"/>
        <w:szCs w:val="16"/>
        <w:lang w:val="pt-PT"/>
      </w:rPr>
      <w:instrText>5</w:instrText>
    </w:r>
    <w:r w:rsidRPr="003E7EEE">
      <w:rPr>
        <w:rFonts w:ascii="Arial" w:hAnsi="Arial" w:cs="Arial"/>
        <w:sz w:val="16"/>
        <w:szCs w:val="16"/>
        <w:lang w:val="pt-PT"/>
      </w:rPr>
      <w:fldChar w:fldCharType="separate"/>
    </w:r>
    <w:r w:rsidR="00E5045F" w:rsidRPr="003E7EEE">
      <w:rPr>
        <w:rFonts w:ascii="Arial" w:hAnsi="Arial" w:cs="Arial"/>
        <w:noProof/>
        <w:sz w:val="16"/>
        <w:szCs w:val="16"/>
        <w:lang w:val="pt-PT"/>
      </w:rPr>
      <w:t xml:space="preserve">Page </w:t>
    </w:r>
    <w:r w:rsidR="00E5045F">
      <w:rPr>
        <w:rFonts w:ascii="Arial" w:hAnsi="Arial" w:cs="Arial"/>
        <w:noProof/>
        <w:sz w:val="16"/>
        <w:szCs w:val="16"/>
        <w:lang w:val="pt-PT"/>
      </w:rPr>
      <w:t>2</w:t>
    </w:r>
    <w:r w:rsidR="00E5045F" w:rsidRPr="003E7EEE">
      <w:rPr>
        <w:rFonts w:ascii="Arial" w:hAnsi="Arial" w:cs="Arial"/>
        <w:noProof/>
        <w:sz w:val="16"/>
        <w:szCs w:val="16"/>
        <w:lang w:val="pt-PT"/>
      </w:rPr>
      <w:t xml:space="preserve"> of </w:t>
    </w:r>
    <w:r w:rsidR="00E5045F">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4FF63" w14:textId="6E15AFC1" w:rsidR="00843948" w:rsidRDefault="00843948">
    <w:pPr>
      <w:pStyle w:val="Header"/>
    </w:pPr>
  </w:p>
  <w:p w14:paraId="3D083F35" w14:textId="77777777" w:rsidR="00843948" w:rsidRDefault="00843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F0693" w14:textId="51046E02" w:rsidR="00843948" w:rsidRDefault="00843948">
    <w:pPr>
      <w:pStyle w:val="Header"/>
    </w:pPr>
    <w:r>
      <w:rPr>
        <w:noProof/>
        <w:lang w:val="en-IE" w:eastAsia="en-IE"/>
      </w:rPr>
      <w:drawing>
        <wp:inline distT="0" distB="0" distL="0" distR="0" wp14:anchorId="31FD15F9" wp14:editId="5540C3BA">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4961"/>
    <w:rsid w:val="001321B3"/>
    <w:rsid w:val="00181FF1"/>
    <w:rsid w:val="00184FF0"/>
    <w:rsid w:val="001B1971"/>
    <w:rsid w:val="001E1EE2"/>
    <w:rsid w:val="00245325"/>
    <w:rsid w:val="002B6A2F"/>
    <w:rsid w:val="002C4A08"/>
    <w:rsid w:val="00317BAA"/>
    <w:rsid w:val="00333DA5"/>
    <w:rsid w:val="003C0627"/>
    <w:rsid w:val="003E7EEE"/>
    <w:rsid w:val="00440BAA"/>
    <w:rsid w:val="0049425B"/>
    <w:rsid w:val="004C5D50"/>
    <w:rsid w:val="004D18EE"/>
    <w:rsid w:val="005546AE"/>
    <w:rsid w:val="005B791C"/>
    <w:rsid w:val="005E2E2C"/>
    <w:rsid w:val="0061133A"/>
    <w:rsid w:val="006303E5"/>
    <w:rsid w:val="006759A1"/>
    <w:rsid w:val="0069066D"/>
    <w:rsid w:val="00692FF6"/>
    <w:rsid w:val="00693340"/>
    <w:rsid w:val="006C6370"/>
    <w:rsid w:val="006E1C78"/>
    <w:rsid w:val="006E219D"/>
    <w:rsid w:val="006E775C"/>
    <w:rsid w:val="006F2994"/>
    <w:rsid w:val="006F4F6C"/>
    <w:rsid w:val="0070735D"/>
    <w:rsid w:val="007120E9"/>
    <w:rsid w:val="007242EF"/>
    <w:rsid w:val="00793FFE"/>
    <w:rsid w:val="0079725F"/>
    <w:rsid w:val="007A0563"/>
    <w:rsid w:val="007B3A8D"/>
    <w:rsid w:val="007D4A1F"/>
    <w:rsid w:val="007E6A0E"/>
    <w:rsid w:val="00807617"/>
    <w:rsid w:val="0081410D"/>
    <w:rsid w:val="00843948"/>
    <w:rsid w:val="008673DD"/>
    <w:rsid w:val="00875927"/>
    <w:rsid w:val="0089345E"/>
    <w:rsid w:val="00904C50"/>
    <w:rsid w:val="00917748"/>
    <w:rsid w:val="009A5141"/>
    <w:rsid w:val="009C1B44"/>
    <w:rsid w:val="00A17280"/>
    <w:rsid w:val="00A215F4"/>
    <w:rsid w:val="00A348F4"/>
    <w:rsid w:val="00B15713"/>
    <w:rsid w:val="00B237F2"/>
    <w:rsid w:val="00B35D2D"/>
    <w:rsid w:val="00B70592"/>
    <w:rsid w:val="00C23F8D"/>
    <w:rsid w:val="00D05645"/>
    <w:rsid w:val="00D13DC9"/>
    <w:rsid w:val="00D36792"/>
    <w:rsid w:val="00D42D68"/>
    <w:rsid w:val="00D44365"/>
    <w:rsid w:val="00D8212F"/>
    <w:rsid w:val="00DB5E6B"/>
    <w:rsid w:val="00DC4159"/>
    <w:rsid w:val="00E10335"/>
    <w:rsid w:val="00E15CA9"/>
    <w:rsid w:val="00E215E4"/>
    <w:rsid w:val="00E25836"/>
    <w:rsid w:val="00E27389"/>
    <w:rsid w:val="00E40A89"/>
    <w:rsid w:val="00E47047"/>
    <w:rsid w:val="00E5045F"/>
    <w:rsid w:val="00E563C1"/>
    <w:rsid w:val="00EA299A"/>
    <w:rsid w:val="00ED7BEB"/>
    <w:rsid w:val="00F03DA4"/>
    <w:rsid w:val="00F55CD4"/>
    <w:rsid w:val="00F70F8A"/>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7B401B73D0184BAADFE24E93A749BA" ma:contentTypeVersion="" ma:contentTypeDescription="Create a new document." ma:contentTypeScope="" ma:versionID="d01e649da9835afe51ea63371e3c926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48EB61-74C5-43C0-8DF4-F21719F54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BF1CFE-3410-437D-B5C7-8C33614CB4C8}">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3DECA09-28F9-426A-9465-5B5834DFDE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2016-12-09T13:32:00Z</dcterms:created>
  <dcterms:modified xsi:type="dcterms:W3CDTF">2016-12-09T13:32:00Z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0x010100917B401B73D0184BAADFE24E93A749BA</vt:lpwstr>
  </property>
</Properties>
</file>